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47" w:rsidRDefault="00E62E3E">
      <w:pPr>
        <w:spacing w:after="144" w:line="259" w:lineRule="auto"/>
        <w:ind w:left="2050" w:firstLine="0"/>
        <w:jc w:val="left"/>
      </w:pPr>
      <w:r>
        <w:rPr>
          <w:noProof/>
        </w:rPr>
        <w:drawing>
          <wp:inline distT="0" distB="0" distL="0" distR="0">
            <wp:extent cx="438912" cy="850513"/>
            <wp:effectExtent l="0" t="0" r="0" b="0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8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47" w:rsidRDefault="00E62E3E">
      <w:pPr>
        <w:ind w:right="33" w:firstLine="0"/>
      </w:pPr>
      <w:r>
        <w:t>Република Србија</w:t>
      </w:r>
    </w:p>
    <w:p w:rsidR="00287D47" w:rsidRDefault="00E62E3E">
      <w:pPr>
        <w:spacing w:after="0" w:line="261" w:lineRule="auto"/>
        <w:ind w:left="581" w:right="23" w:firstLine="0"/>
      </w:pPr>
      <w:r>
        <w:rPr>
          <w:sz w:val="26"/>
        </w:rPr>
        <w:t>МИНИСТАРСТВО ПРОСВЕТЕ,</w:t>
      </w:r>
      <w:bookmarkStart w:id="0" w:name="_GoBack"/>
      <w:bookmarkEnd w:id="0"/>
    </w:p>
    <w:p w:rsidR="00287D47" w:rsidRDefault="00E62E3E">
      <w:pPr>
        <w:spacing w:after="0" w:line="261" w:lineRule="auto"/>
        <w:ind w:left="206" w:right="23" w:firstLine="0"/>
      </w:pPr>
      <w:r>
        <w:rPr>
          <w:sz w:val="26"/>
        </w:rPr>
        <w:t>НАУКЕ И ТЕХНОЛОШКОГ РАЗВОЈА</w:t>
      </w:r>
    </w:p>
    <w:p w:rsidR="00287D47" w:rsidRDefault="00E62E3E">
      <w:pPr>
        <w:spacing w:after="0" w:line="261" w:lineRule="auto"/>
        <w:ind w:left="1022" w:right="23" w:firstLine="0"/>
      </w:pPr>
      <w:r>
        <w:rPr>
          <w:sz w:val="26"/>
        </w:rPr>
        <w:t>КАБИНЕТ МИНИСТРА</w:t>
      </w:r>
    </w:p>
    <w:p w:rsidR="00287D47" w:rsidRDefault="00E62E3E">
      <w:pPr>
        <w:ind w:left="1118" w:right="33" w:firstLine="0"/>
      </w:pPr>
      <w:r>
        <w:t>Број: 601-00-9/2/2020-01</w:t>
      </w:r>
    </w:p>
    <w:p w:rsidR="00287D47" w:rsidRDefault="00E62E3E">
      <w:pPr>
        <w:ind w:left="1027" w:right="33" w:firstLine="0"/>
      </w:pPr>
      <w:r>
        <w:t>Датум: 17.03.2020. године</w:t>
      </w:r>
    </w:p>
    <w:p w:rsidR="00287D47" w:rsidRDefault="00E62E3E">
      <w:pPr>
        <w:ind w:left="1982" w:right="33" w:firstLine="0"/>
      </w:pPr>
      <w:r>
        <w:t>Београд</w:t>
      </w:r>
    </w:p>
    <w:p w:rsidR="00287D47" w:rsidRDefault="00E62E3E">
      <w:pPr>
        <w:spacing w:after="965"/>
        <w:ind w:left="1531" w:right="33" w:firstLine="0"/>
      </w:pPr>
      <w:r>
        <w:t>Немањина 22-26</w:t>
      </w:r>
    </w:p>
    <w:p w:rsidR="00287D47" w:rsidRDefault="00E62E3E">
      <w:pPr>
        <w:spacing w:after="6" w:line="256" w:lineRule="auto"/>
        <w:ind w:left="2796" w:right="2758" w:firstLine="0"/>
        <w:jc w:val="center"/>
      </w:pPr>
      <w:r>
        <w:rPr>
          <w:sz w:val="26"/>
        </w:rPr>
        <w:t>ОСНОВНА ШКОЛА СРЕДЊА ШКОЛА</w:t>
      </w:r>
    </w:p>
    <w:p w:rsidR="00287D47" w:rsidRDefault="00E62E3E">
      <w:pPr>
        <w:spacing w:after="659"/>
        <w:ind w:left="158" w:right="33" w:firstLine="0"/>
      </w:pPr>
      <w:r>
        <w:t>- директорима, стручним сарадницима, наставницима и одељењским старешинама-</w:t>
      </w:r>
    </w:p>
    <w:p w:rsidR="00287D47" w:rsidRDefault="00E62E3E">
      <w:pPr>
        <w:spacing w:after="318"/>
        <w:ind w:left="19" w:right="33" w:hanging="5"/>
      </w:pPr>
      <w:r>
        <w:t>ПРЕДМЕТ: Додатна упутства школама у вези са планирањем и остваривањем образовно-васпитног рада на даљину</w:t>
      </w:r>
    </w:p>
    <w:p w:rsidR="00287D47" w:rsidRDefault="00E62E3E">
      <w:pPr>
        <w:spacing w:after="331"/>
        <w:ind w:left="14" w:right="33" w:firstLine="0"/>
      </w:pPr>
      <w:r>
        <w:t>Поштовани,</w:t>
      </w:r>
    </w:p>
    <w:p w:rsidR="00287D47" w:rsidRDefault="00E62E3E">
      <w:pPr>
        <w:spacing w:after="329"/>
        <w:ind w:left="14" w:right="33"/>
      </w:pPr>
      <w:r>
        <w:t>По пријему дописа о планирању, спровођењу и праћењу образовно-ва</w:t>
      </w:r>
      <w:r>
        <w:t>спитног рада на даљину највећи број школа је у врло кратком времену поставио добре основе за осигурање квалитета учења на даљину у време ванредног стања. У наредним данима очекује се врло интензиван рад школа на изналажењу најбољих решења за комуникацију с</w:t>
      </w:r>
      <w:r>
        <w:t>а ученицима и родитељима и за остваривање наставе на даљину уз све друге видове подршке ученицима.</w:t>
      </w:r>
    </w:p>
    <w:p w:rsidR="00287D47" w:rsidRDefault="00E62E3E">
      <w:pPr>
        <w:ind w:left="14" w:right="33"/>
      </w:pPr>
      <w:r>
        <w:t>Указујемо директорима, стручним сарадницима и наставницима на то да је остваривање наставе на да.ъину обавеза свих у школи, при чему наставници сами планирај</w:t>
      </w:r>
      <w:r>
        <w:t>у начине реализације, ослањајући се на доступну информационокомуникациону технологију и канале комуникације. Планирање наставе на даљину треба да се заснива на постојећим наставним плановима и програмима/програмима наставе и учења. Конкретно, то значи да н</w:t>
      </w:r>
      <w:r>
        <w:t>ема разлога за одступање од онога што је планирано за рад у редовним условима, при чему је акценат на кључним појмовима и знањима. Мења се, односно прилагођава начин рада и начин праћења напредовања ученика.</w:t>
      </w:r>
    </w:p>
    <w:p w:rsidR="00287D47" w:rsidRDefault="00E62E3E">
      <w:pPr>
        <w:spacing w:after="312" w:line="261" w:lineRule="auto"/>
        <w:ind w:left="19" w:right="23" w:firstLine="0"/>
      </w:pPr>
      <w:r>
        <w:rPr>
          <w:sz w:val="26"/>
        </w:rPr>
        <w:t>1. Додатна упутства школама за оперативно планир</w:t>
      </w:r>
      <w:r>
        <w:rPr>
          <w:sz w:val="26"/>
        </w:rPr>
        <w:t>ање образовно-васпитног рада на даљину</w:t>
      </w:r>
    </w:p>
    <w:p w:rsidR="00287D47" w:rsidRDefault="00E62E3E">
      <w:pPr>
        <w:ind w:left="14" w:right="33"/>
      </w:pPr>
      <w:r>
        <w:lastRenderedPageBreak/>
        <w:t>Према допису који је послат школама 16.03.2020. године у вези са учењем на даљину, истакнутаје обавеза школа у изради оперативних планова на недељном нивоу да би се осигурао континуитет процеса наставе и учења. Циљ ов</w:t>
      </w:r>
      <w:r>
        <w:t>ог планирања је да се обезбеди што већа укљученост ученика у различите видове учења, координисан рад наставника у припреми образовних материјала за ученике и праћење дневне оптерећености ученика у складу са узрасним карактеристикама.</w:t>
      </w:r>
    </w:p>
    <w:p w:rsidR="00287D47" w:rsidRDefault="00E62E3E">
      <w:pPr>
        <w:spacing w:after="312" w:line="261" w:lineRule="auto"/>
        <w:ind w:left="19" w:right="23" w:firstLine="715"/>
      </w:pPr>
      <w:r>
        <w:rPr>
          <w:sz w:val="26"/>
        </w:rPr>
        <w:t>Ови оперативни планови</w:t>
      </w:r>
      <w:r>
        <w:rPr>
          <w:sz w:val="26"/>
        </w:rPr>
        <w:t xml:space="preserve"> школа, као што је наведено, треба да садрже кључне активности у остваривању образовно-васпитног рада на даљину у току једне седмице </w:t>
      </w:r>
      <w:r>
        <w:rPr>
          <w:sz w:val="26"/>
          <w:u w:val="single" w:color="000000"/>
        </w:rPr>
        <w:t>на нивоу разреда</w:t>
      </w:r>
      <w:r>
        <w:rPr>
          <w:sz w:val="26"/>
        </w:rPr>
        <w:t xml:space="preserve"> (а не одељења или наставника) и </w:t>
      </w:r>
      <w:r>
        <w:rPr>
          <w:sz w:val="26"/>
          <w:u w:val="single" w:color="000000"/>
        </w:rPr>
        <w:t>на нивоу предмета</w:t>
      </w:r>
      <w:r>
        <w:rPr>
          <w:sz w:val="26"/>
        </w:rPr>
        <w:t>.</w:t>
      </w:r>
    </w:p>
    <w:p w:rsidR="00287D47" w:rsidRDefault="00E62E3E">
      <w:pPr>
        <w:spacing w:after="291" w:line="261" w:lineRule="auto"/>
        <w:ind w:left="19" w:right="23" w:firstLine="0"/>
      </w:pPr>
      <w:r>
        <w:rPr>
          <w:sz w:val="26"/>
        </w:rPr>
        <w:t>Пример - Предлог структуре оперативног плана школе на н</w:t>
      </w:r>
      <w:r>
        <w:rPr>
          <w:sz w:val="26"/>
        </w:rPr>
        <w:t>едељном нивоу:</w:t>
      </w:r>
    </w:p>
    <w:p w:rsidR="00287D47" w:rsidRDefault="00E62E3E">
      <w:pPr>
        <w:ind w:left="14" w:right="33" w:firstLine="0"/>
      </w:pPr>
      <w:r>
        <w:t>Назив школе и место</w:t>
      </w:r>
    </w:p>
    <w:p w:rsidR="00287D47" w:rsidRDefault="00E62E3E">
      <w:pPr>
        <w:spacing w:after="416" w:line="259" w:lineRule="auto"/>
        <w:ind w:left="226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80488" cy="9146"/>
                <wp:effectExtent l="0" t="0" r="0" b="0"/>
                <wp:docPr id="18231" name="Group 18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0488" cy="9146"/>
                          <a:chOff x="0" y="0"/>
                          <a:chExt cx="2380488" cy="9146"/>
                        </a:xfrm>
                      </wpg:grpSpPr>
                      <wps:wsp>
                        <wps:cNvPr id="18230" name="Shape 18230"/>
                        <wps:cNvSpPr/>
                        <wps:spPr>
                          <a:xfrm>
                            <a:off x="0" y="0"/>
                            <a:ext cx="238048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488" h="9146">
                                <a:moveTo>
                                  <a:pt x="0" y="4573"/>
                                </a:moveTo>
                                <a:lnTo>
                                  <a:pt x="238048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31" style="width:187.44pt;height:0.720123pt;mso-position-horizontal-relative:char;mso-position-vertical-relative:line" coordsize="23804,91">
                <v:shape id="Shape 18230" style="position:absolute;width:23804;height:91;left:0;top:0;" coordsize="2380488,9146" path="m0,4573l2380488,4573">
                  <v:stroke weight="0.72012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87D47" w:rsidRDefault="00E62E3E">
      <w:pPr>
        <w:spacing w:after="41"/>
        <w:ind w:left="14" w:right="33" w:firstLine="0"/>
      </w:pPr>
      <w:r>
        <w:t>Оперативни план школе за период 23-27. март 2020.</w:t>
      </w:r>
    </w:p>
    <w:tbl>
      <w:tblPr>
        <w:tblStyle w:val="TableGrid"/>
        <w:tblW w:w="8827" w:type="dxa"/>
        <w:tblInd w:w="29" w:type="dxa"/>
        <w:tblCellMar>
          <w:top w:w="31" w:type="dxa"/>
          <w:left w:w="104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1761"/>
        <w:gridCol w:w="1776"/>
        <w:gridCol w:w="1763"/>
        <w:gridCol w:w="1770"/>
        <w:gridCol w:w="1757"/>
      </w:tblGrid>
      <w:tr w:rsidR="00287D47">
        <w:trPr>
          <w:trHeight w:val="117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right="408" w:firstLine="0"/>
            </w:pPr>
            <w:r>
              <w:rPr>
                <w:sz w:val="22"/>
              </w:rPr>
              <w:t>Разред (за средње школе смер, профил)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t>Предмет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t>Кључне активности и начин остваривања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95" w:lineRule="auto"/>
              <w:ind w:left="10" w:right="10" w:hanging="10"/>
              <w:jc w:val="left"/>
            </w:pPr>
            <w:r>
              <w:t>Додатна подршка</w:t>
            </w:r>
            <w:r>
              <w:tab/>
              <w:t>и</w:t>
            </w:r>
          </w:p>
          <w:p w:rsidR="00287D47" w:rsidRDefault="00E62E3E">
            <w:pPr>
              <w:spacing w:after="0" w:line="259" w:lineRule="auto"/>
              <w:ind w:left="10" w:right="38" w:firstLine="0"/>
              <w:jc w:val="left"/>
            </w:pPr>
            <w:r>
              <w:t>начин пружања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16" w:hanging="10"/>
              <w:jc w:val="left"/>
            </w:pPr>
            <w:r>
              <w:t>Праћење напредовања</w:t>
            </w:r>
          </w:p>
        </w:tc>
      </w:tr>
      <w:tr w:rsidR="00287D47">
        <w:trPr>
          <w:trHeight w:val="213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>Први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11" w:firstLine="0"/>
              <w:jc w:val="left"/>
            </w:pPr>
            <w:r>
              <w:rPr>
                <w:sz w:val="20"/>
              </w:rPr>
              <w:t>Математика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239" w:line="277" w:lineRule="auto"/>
              <w:ind w:left="6" w:right="11" w:firstLine="5"/>
            </w:pPr>
            <w:r>
              <w:rPr>
                <w:sz w:val="20"/>
              </w:rPr>
              <w:t>5 ТВ часова обрада Оедан дневно) - обрада</w:t>
            </w:r>
          </w:p>
          <w:p w:rsidR="00287D47" w:rsidRDefault="00E62E3E">
            <w:pPr>
              <w:spacing w:after="0" w:line="259" w:lineRule="auto"/>
              <w:ind w:left="1" w:right="11" w:firstLine="5"/>
            </w:pPr>
            <w:r>
              <w:rPr>
                <w:sz w:val="20"/>
              </w:rPr>
              <w:t>Допунски задаци на напредном и основном нивоу утврђивање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278" w:line="259" w:lineRule="auto"/>
              <w:ind w:left="5" w:firstLine="0"/>
              <w:jc w:val="left"/>
            </w:pPr>
            <w:r>
              <w:rPr>
                <w:sz w:val="20"/>
              </w:rPr>
              <w:t>Домаћи задаци</w:t>
            </w:r>
          </w:p>
          <w:p w:rsidR="00287D47" w:rsidRDefault="00E62E3E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Додатна вежбања радним свескама (Viber групе)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262" w:line="276" w:lineRule="auto"/>
              <w:ind w:left="6" w:right="5" w:firstLine="0"/>
            </w:pPr>
            <w:r>
              <w:rPr>
                <w:sz w:val="20"/>
              </w:rPr>
              <w:t>Увид у радове ученика (Viber групе)</w:t>
            </w:r>
          </w:p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>Електронска пошта</w:t>
            </w:r>
            <w:r>
              <w:rPr>
                <w:sz w:val="20"/>
              </w:rPr>
              <w:tab/>
              <w:t>(са прилозима)</w:t>
            </w:r>
          </w:p>
        </w:tc>
      </w:tr>
      <w:tr w:rsidR="00287D47">
        <w:trPr>
          <w:trHeight w:val="275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>Први разред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11" w:firstLine="0"/>
              <w:jc w:val="left"/>
            </w:pPr>
            <w:r>
              <w:rPr>
                <w:sz w:val="20"/>
              </w:rPr>
              <w:t>Српски језик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</w:tr>
      <w:tr w:rsidR="00287D47">
        <w:trPr>
          <w:trHeight w:val="274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>Први разред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</w:tr>
      <w:tr w:rsidR="00287D47">
        <w:trPr>
          <w:trHeight w:val="106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firstLine="0"/>
              <w:jc w:val="left"/>
            </w:pPr>
            <w:r>
              <w:rPr>
                <w:sz w:val="20"/>
              </w:rPr>
              <w:t>Пети разред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11" w:firstLine="0"/>
              <w:jc w:val="left"/>
            </w:pPr>
            <w:r>
              <w:rPr>
                <w:sz w:val="20"/>
              </w:rPr>
              <w:t>Енглески језик</w:t>
            </w: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right="11" w:firstLine="0"/>
            </w:pPr>
            <w:r>
              <w:rPr>
                <w:sz w:val="20"/>
              </w:rPr>
              <w:t>Презентација и аудио запис (мејлом) - обрада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5" w:right="5" w:firstLine="0"/>
            </w:pPr>
            <w:r>
              <w:rPr>
                <w:sz w:val="20"/>
              </w:rPr>
              <w:t>Домаћи задатак у уџбенику и радној свесци (Viber групе)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E62E3E">
            <w:pPr>
              <w:spacing w:after="0" w:line="259" w:lineRule="auto"/>
              <w:ind w:left="6" w:right="5" w:firstLine="0"/>
            </w:pPr>
            <w:r>
              <w:rPr>
                <w:sz w:val="20"/>
              </w:rPr>
              <w:t>Урађени домаћи задаци (послати мејлом наставнику)</w:t>
            </w:r>
          </w:p>
        </w:tc>
      </w:tr>
      <w:tr w:rsidR="00287D47">
        <w:trPr>
          <w:trHeight w:val="326"/>
        </w:trPr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D47" w:rsidRDefault="00287D4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87D47" w:rsidRDefault="00E62E3E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2" w:space="0" w:color="000000"/>
        </w:pBdr>
        <w:spacing w:after="14" w:line="270" w:lineRule="auto"/>
        <w:ind w:left="24" w:right="23" w:hanging="10"/>
      </w:pPr>
      <w:r>
        <w:t>Напомена:</w:t>
      </w:r>
    </w:p>
    <w:p w:rsidR="00287D47" w:rsidRDefault="00E62E3E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2" w:space="0" w:color="000000"/>
        </w:pBdr>
        <w:spacing w:after="14" w:line="270" w:lineRule="auto"/>
        <w:ind w:left="24" w:right="23" w:hanging="10"/>
      </w:pPr>
      <w:r>
        <w:t>Није потребно достављати надлежној школској управи индивидуалне оперативне планове наставника и наставне припреме и уносити наставне јединице у план на нивоу школе, јер је то податак за дневник евиденције образовно-васпитног рада (електронске или штампане)</w:t>
      </w:r>
      <w:r>
        <w:t>.</w:t>
      </w:r>
    </w:p>
    <w:p w:rsidR="00287D47" w:rsidRDefault="00E62E3E">
      <w:pPr>
        <w:ind w:left="14" w:right="33"/>
      </w:pPr>
      <w:r>
        <w:t xml:space="preserve">У Прилогу 1 овог дописа достављамо пример структуре Оперативног плана рада наставника који садржи кључне податке о томе шта наставник планира у наредној </w:t>
      </w:r>
      <w:r>
        <w:lastRenderedPageBreak/>
        <w:t>седмици. Наставници могу користити ову структуру, али и сваку другу која је у функцији квалитета план</w:t>
      </w:r>
      <w:r>
        <w:t>ирања.</w:t>
      </w:r>
    </w:p>
    <w:p w:rsidR="00287D47" w:rsidRDefault="00E62E3E">
      <w:pPr>
        <w:ind w:left="14" w:right="33"/>
      </w:pPr>
      <w:r>
        <w:t xml:space="preserve">У Прилогу 2 дописа достављамо формат за извештавање школа о начину планирања наставног рада у ванредном стању. Овај извештај треба доставити надлежној школској управи најкасније до 23. марта 2020. године. По потреби, школске управе ће потраживати и </w:t>
      </w:r>
      <w:r>
        <w:t>друге податке од директора школа.</w:t>
      </w:r>
    </w:p>
    <w:p w:rsidR="00287D47" w:rsidRDefault="00E62E3E">
      <w:pPr>
        <w:ind w:left="14" w:right="33"/>
      </w:pPr>
      <w:r>
        <w:t xml:space="preserve">Потребно је да директори школа обезбеде потребне техничке и комуникационе услове за наставу на да.љину за оне наставнике који ове услове немају код куће. Овим наставницима директори могу доделити школску рачунарску опрему </w:t>
      </w:r>
      <w:r>
        <w:t>(на основу реверса), а уколико ипак не постоји начин да се оствари посредна комуникацију са ученицима, потребно је да се укључе други наставници из стручног или одељењског већа и да преузму посредовање.</w:t>
      </w:r>
    </w:p>
    <w:p w:rsidR="00287D47" w:rsidRDefault="00E62E3E">
      <w:pPr>
        <w:ind w:left="14" w:right="33"/>
      </w:pPr>
      <w:r>
        <w:t xml:space="preserve">Завод за унапређивање образовања и васпитања понудио </w:t>
      </w:r>
      <w:r>
        <w:t>је наставнцима алате за остваривање образовно-васпитног рада на даљину, које наставници могу преузети на адреси:</w:t>
      </w:r>
    </w:p>
    <w:p w:rsidR="00287D47" w:rsidRDefault="00E62E3E">
      <w:pPr>
        <w:spacing w:after="653" w:line="241" w:lineRule="auto"/>
        <w:ind w:left="19" w:right="58" w:firstLine="0"/>
      </w:pPr>
      <w:r>
        <w:rPr>
          <w:u w:val="single" w:color="000000"/>
        </w:rPr>
        <w:t xml:space="preserve">https://zuov.gov.rs/mailster/108335/b9c9e3d6c857dcd682eaee0907abfe8a/aHR0cHM6Ly9 6dW92Lmdvdi5ycy9iaWxOZW4vcHJlZGxvZy pLXVwdXRzdHZvLXphLXJhZC 1 </w:t>
      </w:r>
      <w:r>
        <w:rPr>
          <w:u w:val="single" w:color="000000"/>
        </w:rPr>
        <w:t xml:space="preserve">zYS 1 h bGFOaW hLXphLW9zdHZhcm12YW5qZS 1 vYnJhem92bm8tdmFzcGlObm9nLXByb2Nlc </w:t>
      </w:r>
      <w:r>
        <w:t>2EtdWNlbmplbS Lw</w:t>
      </w:r>
    </w:p>
    <w:p w:rsidR="00287D47" w:rsidRDefault="00E62E3E">
      <w:pPr>
        <w:spacing w:after="312" w:line="261" w:lineRule="auto"/>
        <w:ind w:left="19" w:right="23" w:firstLine="0"/>
      </w:pPr>
      <w:r>
        <w:rPr>
          <w:sz w:val="26"/>
        </w:rPr>
        <w:t>2. Додатна упутства за праћење напредовања ученика у периоду учења на даљину</w:t>
      </w:r>
    </w:p>
    <w:p w:rsidR="00287D47" w:rsidRDefault="00E62E3E">
      <w:pPr>
        <w:ind w:left="14" w:right="33"/>
      </w:pPr>
      <w:r>
        <w:t>У ситуацији када не постоји непосредна комуникација наставника и ученика потребно је да се осмисле и примене различити начини посредног праћења напредовања ученика. У планирању наставе на даљину потребно је да наставници размишљају и о начинима праћења нап</w:t>
      </w:r>
      <w:r>
        <w:t>редовања ученика и то за сваку тему у оквиру наставног програма, водећи рачуна о техничким могућностима породица и ученика.</w:t>
      </w:r>
    </w:p>
    <w:p w:rsidR="00287D47" w:rsidRDefault="00E62E3E">
      <w:pPr>
        <w:ind w:left="14" w:right="33"/>
      </w:pPr>
      <w:r>
        <w:t>Наставници који имају искуства у примени ИКТ у настави могу користити различите алатке за задавање тестова знања, вежбања, вредновањ</w:t>
      </w:r>
      <w:r>
        <w:t>е домаћих задатака и других продуката. Осим тога, путем електронске поште ученици могу слати домаће задатке, урађене вежбе, есеје, слике са продуктима пројеката и др.</w:t>
      </w:r>
    </w:p>
    <w:p w:rsidR="00287D47" w:rsidRDefault="00E62E3E">
      <w:pPr>
        <w:ind w:left="14" w:right="33"/>
      </w:pPr>
      <w:r>
        <w:t>Учење на платформама које омогућавају да ученици и наставници у исто време могу међусобно</w:t>
      </w:r>
      <w:r>
        <w:t xml:space="preserve"> комуницирати током рада (виртуелне учионице) омогућава наставницима да процењују знања ученика и залагање током учења.</w:t>
      </w:r>
    </w:p>
    <w:p w:rsidR="00287D47" w:rsidRDefault="00E62E3E">
      <w:pPr>
        <w:ind w:left="14" w:right="33"/>
      </w:pPr>
      <w:r>
        <w:t>Такође, наставници могу припремити чек-листе за праћење напредовања ученика (очекивани исходи учења) које се могу послати и ученицима да</w:t>
      </w:r>
      <w:r>
        <w:t xml:space="preserve"> би могли да процењују свој напредак у односу на очекиване исходе учења. Наставници могу организовати учење ученика у пару тако да ученици једни другима дају повратне информације о квалитету радова и наученим лекцијама током и на крају учења у оквиру теме </w:t>
      </w:r>
      <w:r>
        <w:t>(комуникација на даљину, електронска преписка).</w:t>
      </w:r>
    </w:p>
    <w:p w:rsidR="00287D47" w:rsidRDefault="00E62E3E">
      <w:pPr>
        <w:ind w:left="14" w:right="33"/>
      </w:pPr>
      <w:r>
        <w:t>Путем видео записа (где ученик представља и образлаже пројекат, поступак рада) наставници могу процењивати квалитет урађеног и степен усвојености градива.</w:t>
      </w:r>
    </w:p>
    <w:p w:rsidR="00287D47" w:rsidRDefault="00E62E3E">
      <w:pPr>
        <w:ind w:left="14" w:right="33"/>
      </w:pPr>
      <w:r>
        <w:lastRenderedPageBreak/>
        <w:t>Позивамо наставнике да размењују идеје за развој техн</w:t>
      </w:r>
      <w:r>
        <w:t>ика праћења напредовања ученика јер на тај начин стварају сигурнију основу за процену остварености циљева и исхода наставе.</w:t>
      </w:r>
    </w:p>
    <w:p w:rsidR="00287D47" w:rsidRDefault="00E62E3E">
      <w:pPr>
        <w:ind w:left="14" w:right="33"/>
      </w:pPr>
      <w:r>
        <w:t>Имајући у виду то да се налазимо на самом почетку другачије организованог учења, наставници треба да се фокусирају на то да обезбеде</w:t>
      </w:r>
      <w:r>
        <w:t xml:space="preserve"> што квалитетнију комуникацију са ученицима да би им могли давати повратне информације (формативно праћење). Тек после одређеног периода, а након обезбеђивања довољног броја повратних информација о напредовању ученика, могуће је размишљати о сумативном оце</w:t>
      </w:r>
      <w:r>
        <w:t>њивању.</w:t>
      </w:r>
    </w:p>
    <w:p w:rsidR="00287D47" w:rsidRDefault="00E62E3E">
      <w:pPr>
        <w:spacing w:after="632"/>
        <w:ind w:left="14" w:right="33"/>
      </w:pPr>
      <w:r>
        <w:t>Важно је да наставници структурирају своју педагошку документацију о праћењу ученика да би могли у континуитету да бележе релевантна запажања о њиховом напредовању у учењу (подщи о образовном напретку у односу на исходе учења, запажања о залагању у</w:t>
      </w:r>
      <w:r>
        <w:t>ченика и препоруке за даље учење).</w:t>
      </w:r>
    </w:p>
    <w:p w:rsidR="00287D47" w:rsidRDefault="00E62E3E">
      <w:pPr>
        <w:spacing w:after="312" w:line="261" w:lineRule="auto"/>
        <w:ind w:left="19" w:right="23" w:firstLine="0"/>
      </w:pPr>
      <w:r>
        <w:rPr>
          <w:sz w:val="26"/>
        </w:rPr>
        <w:t>З. Додатна упутства о евиденцији образовно-васпитних активности на даљину</w:t>
      </w:r>
    </w:p>
    <w:p w:rsidR="00287D47" w:rsidRDefault="00E62E3E">
      <w:pPr>
        <w:ind w:left="14" w:right="33"/>
      </w:pPr>
      <w:r>
        <w:t>Будући да је остваривање наставе на даљину обавеза свих наставника у школи и да се настава остварује према наставним плановима и програмима/програм</w:t>
      </w:r>
      <w:r>
        <w:t>има наставе и учења, неопходно је да се о оствареној настави води евиденција.</w:t>
      </w:r>
    </w:p>
    <w:p w:rsidR="00287D47" w:rsidRDefault="00E62E3E">
      <w:pPr>
        <w:ind w:left="14" w:right="33"/>
      </w:pPr>
      <w:r>
        <w:t>Евиденцију треба водити на прописан начин, уз уважавање свих специфичности ситуације у којој се рад наставника остварује од куће. То значи, да у односу на остварен образовно-васп</w:t>
      </w:r>
      <w:r>
        <w:t>итни рад током радног дана, треба унети све реализоване наставне јединице које су емитоване путем телевизије, као и оне које су реализоване на друге начине. Као што је уобичајено, записује се наставна јединица, а у напоменама се бележи начин реализације.</w:t>
      </w:r>
    </w:p>
    <w:p w:rsidR="00287D47" w:rsidRDefault="00E62E3E">
      <w:pPr>
        <w:spacing w:after="333"/>
        <w:ind w:left="14" w:right="33"/>
      </w:pPr>
      <w:r>
        <w:t>У</w:t>
      </w:r>
      <w:r>
        <w:t xml:space="preserve"> школама које немају електронске дневнике часови се могу уписивати накнадно, за одређени период (седмично, месечно) да би се смањили ризици за преношење и ширење епидемије кроз непосредне контакте већег броја особа.</w:t>
      </w:r>
    </w:p>
    <w:p w:rsidR="00287D47" w:rsidRDefault="00E62E3E">
      <w:pPr>
        <w:numPr>
          <w:ilvl w:val="0"/>
          <w:numId w:val="1"/>
        </w:numPr>
        <w:spacing w:after="312" w:line="261" w:lineRule="auto"/>
        <w:ind w:right="23" w:hanging="235"/>
      </w:pPr>
      <w:r>
        <w:rPr>
          <w:sz w:val="26"/>
        </w:rPr>
        <w:t>Додатна упутства за информисање и комуни</w:t>
      </w:r>
      <w:r>
        <w:rPr>
          <w:sz w:val="26"/>
        </w:rPr>
        <w:t>кацију</w:t>
      </w:r>
    </w:p>
    <w:p w:rsidR="00287D47" w:rsidRDefault="00E62E3E">
      <w:pPr>
        <w:numPr>
          <w:ilvl w:val="1"/>
          <w:numId w:val="1"/>
        </w:numPr>
        <w:spacing w:after="329"/>
        <w:ind w:right="33" w:firstLine="0"/>
      </w:pPr>
      <w:r>
        <w:t>Обавезују се директори школа да редовно прате пријем дописа из Министарства и да их без одлагања учине доступним свим предвиђеним циљним групама.</w:t>
      </w:r>
    </w:p>
    <w:p w:rsidR="00287D47" w:rsidRDefault="00E62E3E">
      <w:pPr>
        <w:numPr>
          <w:ilvl w:val="1"/>
          <w:numId w:val="1"/>
        </w:numPr>
        <w:spacing w:after="301"/>
        <w:ind w:right="33" w:firstLine="0"/>
      </w:pPr>
      <w:r>
        <w:t>Подсећамо директоре школа на обавезу постављања банера на званични сајт школе у коме ће бити сви потреб</w:t>
      </w:r>
      <w:r>
        <w:t>ни линкови за приступ часовима и другим видовима подршке, као и информације за ученика и родителе.</w:t>
      </w:r>
    </w:p>
    <w:p w:rsidR="00287D47" w:rsidRDefault="00E62E3E">
      <w:pPr>
        <w:numPr>
          <w:ilvl w:val="1"/>
          <w:numId w:val="1"/>
        </w:numPr>
        <w:spacing w:after="349"/>
        <w:ind w:right="33" w:firstLine="0"/>
      </w:pPr>
      <w:r>
        <w:t>У складу са потребама новонастале ситуације, СОС телефон за пријаву насиља у школама Министарство 23. марта 2020. године, ставља се у функцију пружања психосоцијалне подршке запосленима у школама, родитељима и ученицима. Телефон ће радити сваког радног дан</w:t>
      </w:r>
      <w:r>
        <w:t xml:space="preserve">а од 9-14 часова. На линији ће </w:t>
      </w:r>
      <w:r>
        <w:lastRenderedPageBreak/>
        <w:t>бити ангажоване колеге које већ волонтерски раде на СОС телефону за пријаву насиља, а по потреби прикључиваће се и други стручњаци.</w:t>
      </w:r>
    </w:p>
    <w:p w:rsidR="00287D47" w:rsidRDefault="00E62E3E">
      <w:pPr>
        <w:numPr>
          <w:ilvl w:val="1"/>
          <w:numId w:val="1"/>
        </w:numPr>
        <w:spacing w:after="344"/>
        <w:ind w:right="33" w:firstLine="0"/>
      </w:pPr>
      <w:r>
        <w:t>У случају да су наставници због болести спречени да остварују наставу на даљину, неопходно је</w:t>
      </w:r>
      <w:r>
        <w:t xml:space="preserve"> обезбедити да други наставници преузму комуникацију са ученицима и родитељима.</w:t>
      </w:r>
    </w:p>
    <w:p w:rsidR="00287D47" w:rsidRDefault="00E62E3E">
      <w:pPr>
        <w:numPr>
          <w:ilvl w:val="0"/>
          <w:numId w:val="1"/>
        </w:numPr>
        <w:spacing w:after="312" w:line="261" w:lineRule="auto"/>
        <w:ind w:right="23" w:hanging="235"/>
      </w:pPr>
      <w:r>
        <w:rPr>
          <w:sz w:val="26"/>
        </w:rPr>
        <w:t>Подршка ученицима мигрантима у периоду ванредног стања</w:t>
      </w:r>
    </w:p>
    <w:p w:rsidR="00287D47" w:rsidRDefault="00E62E3E">
      <w:pPr>
        <w:ind w:left="14" w:right="33"/>
      </w:pPr>
      <w:r>
        <w:t>Министарство просвете, науке и технолошког развоја и Комесаријат за избеглице и миграције обезбедиће услове да ученици мигранти који су већ укључени у систем образовања и васпитања, на исти начин као и остали ученици, несметано прате наставу наставу на даљ</w:t>
      </w:r>
      <w:r>
        <w:t>ину на ТВ каналима у прихватним и центрима за азил у Републици Србији,</w:t>
      </w:r>
    </w:p>
    <w:p w:rsidR="00287D47" w:rsidRDefault="00E62E3E">
      <w:pPr>
        <w:spacing w:after="625"/>
        <w:ind w:left="787" w:right="33" w:firstLine="0"/>
      </w:pPr>
      <w:r>
        <w:t>Захваљујемо на разумевању и сарадњи,</w:t>
      </w:r>
    </w:p>
    <w:p w:rsidR="00287D47" w:rsidRDefault="00E62E3E">
      <w:pPr>
        <w:spacing w:after="0" w:line="259" w:lineRule="auto"/>
        <w:ind w:left="0" w:right="595" w:firstLine="0"/>
        <w:jc w:val="right"/>
      </w:pPr>
      <w:r>
        <w:rPr>
          <w:u w:val="double" w:color="000000"/>
        </w:rPr>
        <w:t>М</w:t>
      </w:r>
      <w:r>
        <w:t>ИНИСТАР</w:t>
      </w:r>
    </w:p>
    <w:p w:rsidR="00287D47" w:rsidRDefault="00E62E3E">
      <w:pPr>
        <w:tabs>
          <w:tab w:val="right" w:pos="8894"/>
        </w:tabs>
        <w:ind w:left="0" w:firstLine="0"/>
        <w:jc w:val="left"/>
      </w:pPr>
      <w:r>
        <w:t>Прилози:</w:t>
      </w:r>
      <w:r>
        <w:tab/>
      </w:r>
      <w:r>
        <w:rPr>
          <w:noProof/>
        </w:rPr>
        <w:drawing>
          <wp:inline distT="0" distB="0" distL="0" distR="0">
            <wp:extent cx="1752600" cy="1155356"/>
            <wp:effectExtent l="0" t="0" r="0" b="0"/>
            <wp:docPr id="18234" name="Picture 1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4" name="Picture 182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5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47" w:rsidRDefault="00E62E3E">
      <w:pPr>
        <w:numPr>
          <w:ilvl w:val="2"/>
          <w:numId w:val="2"/>
        </w:numPr>
        <w:ind w:right="127" w:hanging="360"/>
      </w:pPr>
      <w:r>
        <w:t>Прилог 1 — Пример оперативног плана рада наставника</w:t>
      </w:r>
    </w:p>
    <w:p w:rsidR="00287D47" w:rsidRDefault="00E62E3E">
      <w:pPr>
        <w:numPr>
          <w:ilvl w:val="2"/>
          <w:numId w:val="2"/>
        </w:numPr>
        <w:spacing w:after="0" w:line="259" w:lineRule="auto"/>
        <w:ind w:right="127" w:hanging="360"/>
      </w:pPr>
      <w:r>
        <w:t>Прилог 2 — Формат за извештавање школа (за надлежну школску управу)</w:t>
      </w:r>
    </w:p>
    <w:sectPr w:rsidR="00287D47">
      <w:footerReference w:type="even" r:id="rId9"/>
      <w:footerReference w:type="default" r:id="rId10"/>
      <w:footerReference w:type="first" r:id="rId11"/>
      <w:pgSz w:w="12240" w:h="16860"/>
      <w:pgMar w:top="1380" w:right="1752" w:bottom="1530" w:left="1594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3E" w:rsidRDefault="00E62E3E">
      <w:pPr>
        <w:spacing w:after="0" w:line="240" w:lineRule="auto"/>
      </w:pPr>
      <w:r>
        <w:separator/>
      </w:r>
    </w:p>
  </w:endnote>
  <w:endnote w:type="continuationSeparator" w:id="0">
    <w:p w:rsidR="00E62E3E" w:rsidRDefault="00E6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47" w:rsidRDefault="00E62E3E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47" w:rsidRDefault="00E62E3E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2F9E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47" w:rsidRDefault="00E62E3E">
    <w:pPr>
      <w:spacing w:after="0" w:line="259" w:lineRule="auto"/>
      <w:ind w:left="0" w:right="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3E" w:rsidRDefault="00E62E3E">
      <w:pPr>
        <w:spacing w:after="0" w:line="240" w:lineRule="auto"/>
      </w:pPr>
      <w:r>
        <w:separator/>
      </w:r>
    </w:p>
  </w:footnote>
  <w:footnote w:type="continuationSeparator" w:id="0">
    <w:p w:rsidR="00E62E3E" w:rsidRDefault="00E6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4D8362B7"/>
    <w:multiLevelType w:val="multilevel"/>
    <w:tmpl w:val="BD3ADB54"/>
    <w:lvl w:ilvl="0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723334"/>
    <w:multiLevelType w:val="hybridMultilevel"/>
    <w:tmpl w:val="0D560E7A"/>
    <w:lvl w:ilvl="0" w:tplc="A61021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EF3A8">
      <w:start w:val="1"/>
      <w:numFmt w:val="bullet"/>
      <w:lvlText w:val="o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2E969C">
      <w:start w:val="1"/>
      <w:numFmt w:val="bullet"/>
      <w:lvlRestart w:val="0"/>
      <w:lvlText w:val="•"/>
      <w:lvlPicBulletId w:val="0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2BD6E">
      <w:start w:val="1"/>
      <w:numFmt w:val="bullet"/>
      <w:lvlText w:val="•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A4430">
      <w:start w:val="1"/>
      <w:numFmt w:val="bullet"/>
      <w:lvlText w:val="o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22BC4">
      <w:start w:val="1"/>
      <w:numFmt w:val="bullet"/>
      <w:lvlText w:val="▪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C68C0">
      <w:start w:val="1"/>
      <w:numFmt w:val="bullet"/>
      <w:lvlText w:val="•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2038E">
      <w:start w:val="1"/>
      <w:numFmt w:val="bullet"/>
      <w:lvlText w:val="o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4648A">
      <w:start w:val="1"/>
      <w:numFmt w:val="bullet"/>
      <w:lvlText w:val="▪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47"/>
    <w:rsid w:val="00287D47"/>
    <w:rsid w:val="00312F9E"/>
    <w:rsid w:val="00E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549E2-98D5-4EBD-A93B-8E1D6906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71" w:lineRule="auto"/>
      <w:ind w:left="1478" w:firstLine="72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cp:lastModifiedBy>Jaca</cp:lastModifiedBy>
  <cp:revision>2</cp:revision>
  <dcterms:created xsi:type="dcterms:W3CDTF">2020-03-18T11:42:00Z</dcterms:created>
  <dcterms:modified xsi:type="dcterms:W3CDTF">2020-03-18T11:42:00Z</dcterms:modified>
</cp:coreProperties>
</file>